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Arial" w:cs="Arial" w:eastAsia="Arial" w:hAnsi="Arial"/>
          <w:b/>
          <w:bCs/>
          <w:color w:val="A04E37"/>
          <w:sz w:val="48"/>
          <w:szCs w:val="48"/>
        </w:rPr>
        <w:t xml:space="preserve">PhoxFin</w:t>
      </w:r>
    </w:p>
    <w:p>
      <w:pPr>
        <w:spacing w:after="60"/>
      </w:pPr>
      <w:r>
        <w:rPr>
          <w:b/>
          <w:bCs/>
          <w:color w:val="2A2A2A"/>
          <w:sz w:val="34"/>
          <w:szCs w:val="34"/>
        </w:rPr>
        <w:t xml:space="preserve">Framework Alignment Overview</w:t>
      </w:r>
    </w:p>
    <w:p>
      <w:pPr>
        <w:spacing w:after="40"/>
      </w:pPr>
      <w:r>
        <w:rPr>
          <w:i/>
          <w:iCs/>
          <w:color w:val="5A5650"/>
          <w:sz w:val="22"/>
          <w:szCs w:val="22"/>
        </w:rPr>
        <w:t xml:space="preserve">A factual reference for reviewers and funding partners</w:t>
      </w:r>
    </w:p>
    <w:p>
      <w:pPr>
        <w:spacing w:after="240"/>
      </w:pPr>
      <w:r>
        <w:rPr>
          <w:color w:val="5A5650"/>
          <w:sz w:val="19"/>
          <w:szCs w:val="19"/>
        </w:rPr>
        <w:t xml:space="preserve">PreK–12 adaptive financial literacy  ·  Knightbyrd Tech LLC</w:t>
      </w:r>
    </w:p>
    <w:p>
      <w:pPr>
        <w:pBdr>
          <w:top w:val="single" w:color="EFC2AE" w:sz="4" w:space="6"/>
          <w:bottom w:val="single" w:color="EFC2AE" w:sz="4" w:space="6"/>
        </w:pBdr>
        <w:spacing w:after="80"/>
      </w:pPr>
      <w:r>
        <w:rPr>
          <w:color w:val="5A5650"/>
          <w:sz w:val="19"/>
          <w:szCs w:val="19"/>
        </w:rPr>
        <w:t xml:space="preserve">Audience: grant reviewers, foundations, banks, credit unions, community organizations, school leaders, homeschool organizations, and procurement reviewers.</w:t>
      </w:r>
    </w:p>
    <w:p>
      <w:pPr>
        <w:spacing w:after="160" w:line="276"/>
      </w:pPr>
      <w:r>
        <w:t xml:space="preserve"/>
      </w:r>
    </w:p>
    <w:p>
      <w:pPr>
        <w:pStyle w:val="Heading1"/>
      </w:pPr>
      <w:r>
        <w:t xml:space="preserve">Executive summary</w:t>
      </w:r>
    </w:p>
    <w:p>
      <w:pPr>
        <w:spacing w:after="160" w:line="276"/>
      </w:pPr>
      <w:r>
        <w:t xml:space="preserve">PhoxFin is a PreK–12 adaptive financial literacy platform designed around nationally recognized financial literacy guidance and developmental learning principles. It delivers a spiral curriculum that revisits core money principles each year with increasing depth, paired with adaptive pacing, reflection, real-world scenarios, and verifiable grade-level credentials.</w:t>
      </w:r>
    </w:p>
    <w:p>
      <w:pPr>
        <w:spacing w:after="160" w:line="276"/>
      </w:pPr>
      <w:r>
        <w:t xml:space="preserve">Framework alignment is based on curriculum architecture, mastery progression, adaptive learning systems, and documented competency mappings. It describes how the platform is built — not a claim of certification, accreditation, or endorsement by any framework organization.</w:t>
      </w:r>
    </w:p>
    <w:p>
      <w:pPr>
        <w:spacing w:after="160" w:line="276"/>
      </w:pPr>
      <w:r>
        <w:t xml:space="preserve">This document summarizes how PhoxFin relates to four primary frameworks and two supplementary areas, states clearly what PhoxFin does not currently claim, and explains why documented framework alignment matters for funding decisions.</w:t>
      </w:r>
    </w:p>
    <w:p>
      <w:pPr>
        <w:pStyle w:val="Heading1"/>
      </w:pPr>
      <w:r>
        <w:t xml:space="preserve">Framework 1 — Jump$tart Coalition National Standards</w:t>
      </w:r>
    </w:p>
    <w:p>
      <w:pPr>
        <w:spacing w:after="140" w:before="40"/>
      </w:pPr>
      <w:r>
        <w:rPr>
          <w:b/>
          <w:bCs/>
          <w:color w:val="2A2A2A"/>
        </w:rPr>
        <w:t xml:space="preserve">Alignment status:  </w:t>
      </w:r>
      <w:r>
        <w:rPr>
          <w:b/>
          <w:bCs/>
          <w:color w:val="A04E37"/>
        </w:rPr>
        <w:t xml:space="preserve">Strong architectural alignment</w:t>
      </w:r>
    </w:p>
    <w:p>
      <w:pPr>
        <w:spacing w:after="60" w:before="40"/>
      </w:pPr>
      <w:r>
        <w:rPr>
          <w:b/>
          <w:bCs/>
          <w:color w:val="2A2A2A"/>
        </w:rPr>
        <w:t xml:space="preserve">Why:</w:t>
      </w:r>
    </w:p>
    <w:p>
      <w:pPr>
        <w:pStyle w:val="ListParagraph"/>
        <w:numPr>
          <w:ilvl w:val="0"/>
          <w:numId w:val="2"/>
        </w:numPr>
        <w:spacing w:after="60" w:line="264"/>
      </w:pPr>
      <w:r>
        <w:t xml:space="preserve">Major personal finance domains are represented across the curriculum.</w:t>
      </w:r>
    </w:p>
    <w:p>
      <w:pPr>
        <w:pStyle w:val="ListParagraph"/>
        <w:numPr>
          <w:ilvl w:val="0"/>
          <w:numId w:val="2"/>
        </w:numPr>
        <w:spacing w:after="60" w:line="264"/>
      </w:pPr>
      <w:r>
        <w:t xml:space="preserve">PreK–12 progression with age-banded difficulty.</w:t>
      </w:r>
    </w:p>
    <w:p>
      <w:pPr>
        <w:pStyle w:val="ListParagraph"/>
        <w:numPr>
          <w:ilvl w:val="0"/>
          <w:numId w:val="2"/>
        </w:numPr>
        <w:spacing w:after="60" w:line="264"/>
      </w:pPr>
      <w:r>
        <w:t xml:space="preserve">Mastery-based learning that gates depth as learners advance.</w:t>
      </w:r>
    </w:p>
    <w:p>
      <w:pPr>
        <w:pStyle w:val="ListParagraph"/>
        <w:numPr>
          <w:ilvl w:val="0"/>
          <w:numId w:val="2"/>
        </w:numPr>
        <w:spacing w:after="60" w:line="264"/>
      </w:pPr>
      <w:r>
        <w:t xml:space="preserve">Financial decision-making is a recurring focus across grade bands.</w:t>
      </w:r>
    </w:p>
    <w:p>
      <w:pPr>
        <w:pStyle w:val="ListParagraph"/>
        <w:numPr>
          <w:ilvl w:val="0"/>
          <w:numId w:val="2"/>
        </w:numPr>
        <w:spacing w:after="60" w:line="264"/>
      </w:pPr>
      <w:r>
        <w:t xml:space="preserve">Age-banded instruction aligns language and cognitive load to each stage.</w:t>
      </w:r>
    </w:p>
    <w:p>
      <w:pPr>
        <w:spacing w:after="160" w:before="40"/>
      </w:pPr>
      <w:r>
        <w:t xml:space="preserve">PhoxFin’s topic coverage and spiral progression are designed around the Jump$tart Coalition’s six topic areas and grade-band expectations.</w:t>
      </w:r>
    </w:p>
    <w:p>
      <w:pPr>
        <w:pStyle w:val="Heading1"/>
      </w:pPr>
      <w:r>
        <w:t xml:space="preserve">Framework 2 — Council for Economic Education (CEE)</w:t>
      </w:r>
    </w:p>
    <w:p>
      <w:pPr>
        <w:spacing w:after="140" w:before="40"/>
      </w:pPr>
      <w:r>
        <w:rPr>
          <w:b/>
          <w:bCs/>
          <w:color w:val="2A2A2A"/>
        </w:rPr>
        <w:t xml:space="preserve">Alignment status:  </w:t>
      </w:r>
      <w:r>
        <w:rPr>
          <w:b/>
          <w:bCs/>
          <w:color w:val="A04E37"/>
        </w:rPr>
        <w:t xml:space="preserve">Strong architectural alignment</w:t>
      </w:r>
    </w:p>
    <w:p>
      <w:pPr>
        <w:spacing w:after="60" w:before="40"/>
      </w:pPr>
      <w:r>
        <w:rPr>
          <w:b/>
          <w:bCs/>
          <w:color w:val="2A2A2A"/>
        </w:rPr>
        <w:t xml:space="preserve">Why:</w:t>
      </w:r>
    </w:p>
    <w:p>
      <w:pPr>
        <w:spacing w:after="80"/>
      </w:pPr>
      <w:r>
        <w:t xml:space="preserve">Core CEE personal finance domains and concepts are embedded in the curriculum architecture, including:</w:t>
      </w:r>
    </w:p>
    <w:p>
      <w:pPr>
        <w:pStyle w:val="ListParagraph"/>
        <w:numPr>
          <w:ilvl w:val="0"/>
          <w:numId w:val="2"/>
        </w:numPr>
        <w:spacing w:after="60" w:line="264"/>
      </w:pPr>
      <w:r>
        <w:t xml:space="preserve">Saving</w:t>
      </w:r>
    </w:p>
    <w:p>
      <w:pPr>
        <w:pStyle w:val="ListParagraph"/>
        <w:numPr>
          <w:ilvl w:val="0"/>
          <w:numId w:val="2"/>
        </w:numPr>
        <w:spacing w:after="60" w:line="264"/>
      </w:pPr>
      <w:r>
        <w:t xml:space="preserve">Spending</w:t>
      </w:r>
    </w:p>
    <w:p>
      <w:pPr>
        <w:pStyle w:val="ListParagraph"/>
        <w:numPr>
          <w:ilvl w:val="0"/>
          <w:numId w:val="2"/>
        </w:numPr>
        <w:spacing w:after="60" w:line="264"/>
      </w:pPr>
      <w:r>
        <w:t xml:space="preserve">Investing</w:t>
      </w:r>
    </w:p>
    <w:p>
      <w:pPr>
        <w:pStyle w:val="ListParagraph"/>
        <w:numPr>
          <w:ilvl w:val="0"/>
          <w:numId w:val="2"/>
        </w:numPr>
        <w:spacing w:after="60" w:line="264"/>
      </w:pPr>
      <w:r>
        <w:t xml:space="preserve">Entrepreneurship</w:t>
      </w:r>
    </w:p>
    <w:p>
      <w:pPr>
        <w:pStyle w:val="ListParagraph"/>
        <w:numPr>
          <w:ilvl w:val="0"/>
          <w:numId w:val="2"/>
        </w:numPr>
        <w:spacing w:after="60" w:line="264"/>
      </w:pPr>
      <w:r>
        <w:t xml:space="preserve">Risk management</w:t>
      </w:r>
    </w:p>
    <w:p>
      <w:pPr>
        <w:pStyle w:val="ListParagraph"/>
        <w:numPr>
          <w:ilvl w:val="0"/>
          <w:numId w:val="2"/>
        </w:numPr>
        <w:spacing w:after="60" w:line="264"/>
      </w:pPr>
      <w:r>
        <w:t xml:space="preserve">Opportunity cost</w:t>
      </w:r>
    </w:p>
    <w:p>
      <w:pPr>
        <w:pStyle w:val="ListParagraph"/>
        <w:numPr>
          <w:ilvl w:val="0"/>
          <w:numId w:val="2"/>
        </w:numPr>
        <w:spacing w:after="60" w:line="264"/>
      </w:pPr>
      <w:r>
        <w:t xml:space="preserve">Financial decision-making</w:t>
      </w:r>
    </w:p>
    <w:p>
      <w:pPr>
        <w:spacing w:after="160" w:before="40"/>
      </w:pPr>
      <w:r>
        <w:t xml:space="preserve">Benchmark-grade depth is placed at grades 4, 8, and 12 through the spiral structure.</w:t>
      </w:r>
    </w:p>
    <w:p>
      <w:pPr>
        <w:pStyle w:val="Heading1"/>
      </w:pPr>
      <w:r>
        <w:t xml:space="preserve">Framework 3 — CFPB Youth Financial Education Model</w:t>
      </w:r>
    </w:p>
    <w:p>
      <w:pPr>
        <w:spacing w:after="140" w:before="40"/>
      </w:pPr>
      <w:r>
        <w:rPr>
          <w:b/>
          <w:bCs/>
          <w:color w:val="2A2A2A"/>
        </w:rPr>
        <w:t xml:space="preserve">Alignment status:  </w:t>
      </w:r>
      <w:r>
        <w:rPr>
          <w:b/>
          <w:bCs/>
          <w:color w:val="A04E37"/>
        </w:rPr>
        <w:t xml:space="preserve">Strong developmental alignment</w:t>
      </w:r>
    </w:p>
    <w:p>
      <w:pPr>
        <w:spacing w:after="60" w:before="40"/>
      </w:pPr>
      <w:r>
        <w:rPr>
          <w:b/>
          <w:bCs/>
          <w:color w:val="2A2A2A"/>
        </w:rPr>
        <w:t xml:space="preserve">Why:</w:t>
      </w:r>
    </w:p>
    <w:p>
      <w:pPr>
        <w:pStyle w:val="Heading2"/>
      </w:pPr>
      <w:r>
        <w:t xml:space="preserve">Executive function</w:t>
      </w:r>
    </w:p>
    <w:p>
      <w:pPr>
        <w:pStyle w:val="ListParagraph"/>
        <w:numPr>
          <w:ilvl w:val="0"/>
          <w:numId w:val="2"/>
        </w:numPr>
        <w:spacing w:after="60" w:line="264"/>
      </w:pPr>
      <w:r>
        <w:t xml:space="preserve">Reflection</w:t>
      </w:r>
    </w:p>
    <w:p>
      <w:pPr>
        <w:pStyle w:val="ListParagraph"/>
        <w:numPr>
          <w:ilvl w:val="0"/>
          <w:numId w:val="2"/>
        </w:numPr>
        <w:spacing w:after="60" w:line="264"/>
      </w:pPr>
      <w:r>
        <w:t xml:space="preserve">Adaptive pathways</w:t>
      </w:r>
    </w:p>
    <w:p>
      <w:pPr>
        <w:pStyle w:val="ListParagraph"/>
        <w:numPr>
          <w:ilvl w:val="0"/>
          <w:numId w:val="2"/>
        </w:numPr>
        <w:spacing w:after="60" w:line="264"/>
      </w:pPr>
      <w:r>
        <w:t xml:space="preserve">Goal-setting</w:t>
      </w:r>
    </w:p>
    <w:p>
      <w:pPr>
        <w:pStyle w:val="ListParagraph"/>
        <w:numPr>
          <w:ilvl w:val="0"/>
          <w:numId w:val="2"/>
        </w:numPr>
        <w:spacing w:after="60" w:line="264"/>
      </w:pPr>
      <w:r>
        <w:t xml:space="preserve">Decision practice</w:t>
      </w:r>
    </w:p>
    <w:p>
      <w:pPr>
        <w:pStyle w:val="Heading2"/>
      </w:pPr>
      <w:r>
        <w:t xml:space="preserve">Financial habits and norms</w:t>
      </w:r>
    </w:p>
    <w:p>
      <w:pPr>
        <w:pStyle w:val="ListParagraph"/>
        <w:numPr>
          <w:ilvl w:val="0"/>
          <w:numId w:val="2"/>
        </w:numPr>
        <w:spacing w:after="60" w:line="264"/>
      </w:pPr>
      <w:r>
        <w:t xml:space="preserve">Saving behaviors</w:t>
      </w:r>
    </w:p>
    <w:p>
      <w:pPr>
        <w:pStyle w:val="ListParagraph"/>
        <w:numPr>
          <w:ilvl w:val="0"/>
          <w:numId w:val="2"/>
        </w:numPr>
        <w:spacing w:after="60" w:line="264"/>
      </w:pPr>
      <w:r>
        <w:t xml:space="preserve">Delayed gratification</w:t>
      </w:r>
    </w:p>
    <w:p>
      <w:pPr>
        <w:pStyle w:val="ListParagraph"/>
        <w:numPr>
          <w:ilvl w:val="0"/>
          <w:numId w:val="2"/>
        </w:numPr>
        <w:spacing w:after="60" w:line="264"/>
      </w:pPr>
      <w:r>
        <w:t xml:space="preserve">Emotional spending awareness</w:t>
      </w:r>
    </w:p>
    <w:p>
      <w:pPr>
        <w:pStyle w:val="Heading2"/>
      </w:pPr>
      <w:r>
        <w:t xml:space="preserve">Financial knowledge and decision-making</w:t>
      </w:r>
    </w:p>
    <w:p>
      <w:pPr>
        <w:pStyle w:val="ListParagraph"/>
        <w:numPr>
          <w:ilvl w:val="0"/>
          <w:numId w:val="2"/>
        </w:numPr>
        <w:spacing w:after="60" w:line="264"/>
      </w:pPr>
      <w:r>
        <w:t xml:space="preserve">Real-world application</w:t>
      </w:r>
    </w:p>
    <w:p>
      <w:pPr>
        <w:pStyle w:val="ListParagraph"/>
        <w:numPr>
          <w:ilvl w:val="0"/>
          <w:numId w:val="2"/>
        </w:numPr>
        <w:spacing w:after="60" w:line="264"/>
      </w:pPr>
      <w:r>
        <w:t xml:space="preserve">Financial choices</w:t>
      </w:r>
    </w:p>
    <w:p>
      <w:pPr>
        <w:pStyle w:val="ListParagraph"/>
        <w:numPr>
          <w:ilvl w:val="0"/>
          <w:numId w:val="2"/>
        </w:numPr>
        <w:spacing w:after="60" w:line="264"/>
      </w:pPr>
      <w:r>
        <w:t xml:space="preserve">Tradeoffs</w:t>
      </w:r>
    </w:p>
    <w:p>
      <w:pPr>
        <w:pStyle w:val="ListParagraph"/>
        <w:numPr>
          <w:ilvl w:val="0"/>
          <w:numId w:val="2"/>
        </w:numPr>
        <w:spacing w:after="60" w:line="264"/>
      </w:pPr>
      <w:r>
        <w:t xml:space="preserve">Risk evaluation</w:t>
      </w:r>
    </w:p>
    <w:p>
      <w:pPr>
        <w:spacing w:after="160" w:before="60"/>
      </w:pPr>
      <w:r>
        <w:t xml:space="preserve">PhoxFin is designed around the CFPB model’s three building blocks through how it teaches — pacing, scaffolding, reflection, and repeated practice across the PreK–12 spiral.</w:t>
      </w:r>
    </w:p>
    <w:p>
      <w:pPr>
        <w:pStyle w:val="Heading1"/>
      </w:pPr>
      <w:r>
        <w:t xml:space="preserve">Framework 4 — Homeschool support</w:t>
      </w:r>
    </w:p>
    <w:p>
      <w:pPr>
        <w:spacing w:after="140" w:before="40"/>
      </w:pPr>
      <w:r>
        <w:rPr>
          <w:b/>
          <w:bCs/>
          <w:color w:val="2A2A2A"/>
        </w:rPr>
        <w:t xml:space="preserve">Alignment status:  </w:t>
      </w:r>
      <w:r>
        <w:rPr>
          <w:b/>
          <w:bCs/>
          <w:color w:val="A04E37"/>
        </w:rPr>
        <w:t xml:space="preserve">Operational alignment</w:t>
      </w:r>
    </w:p>
    <w:p>
      <w:pPr>
        <w:spacing w:after="60" w:before="40"/>
      </w:pPr>
      <w:r>
        <w:rPr>
          <w:b/>
          <w:bCs/>
          <w:color w:val="2A2A2A"/>
        </w:rPr>
        <w:t xml:space="preserve">Why:</w:t>
      </w:r>
    </w:p>
    <w:p>
      <w:pPr>
        <w:pStyle w:val="ListParagraph"/>
        <w:numPr>
          <w:ilvl w:val="0"/>
          <w:numId w:val="2"/>
        </w:numPr>
        <w:spacing w:after="60" w:line="264"/>
      </w:pPr>
      <w:r>
        <w:t xml:space="preserve">Self-paced learning</w:t>
      </w:r>
    </w:p>
    <w:p>
      <w:pPr>
        <w:pStyle w:val="ListParagraph"/>
        <w:numPr>
          <w:ilvl w:val="0"/>
          <w:numId w:val="2"/>
        </w:numPr>
        <w:spacing w:after="60" w:line="264"/>
      </w:pPr>
      <w:r>
        <w:t xml:space="preserve">Parent visibility</w:t>
      </w:r>
    </w:p>
    <w:p>
      <w:pPr>
        <w:pStyle w:val="ListParagraph"/>
        <w:numPr>
          <w:ilvl w:val="0"/>
          <w:numId w:val="2"/>
        </w:numPr>
        <w:spacing w:after="60" w:line="264"/>
      </w:pPr>
      <w:r>
        <w:t xml:space="preserve">Progress records</w:t>
      </w:r>
    </w:p>
    <w:p>
      <w:pPr>
        <w:pStyle w:val="ListParagraph"/>
        <w:numPr>
          <w:ilvl w:val="0"/>
          <w:numId w:val="2"/>
        </w:numPr>
        <w:spacing w:after="60" w:line="264"/>
      </w:pPr>
      <w:r>
        <w:t xml:space="preserve">Verifiable credentials</w:t>
      </w:r>
    </w:p>
    <w:p>
      <w:pPr>
        <w:pStyle w:val="ListParagraph"/>
        <w:numPr>
          <w:ilvl w:val="0"/>
          <w:numId w:val="2"/>
        </w:numPr>
        <w:spacing w:after="60" w:line="264"/>
      </w:pPr>
      <w:r>
        <w:t xml:space="preserve">Grade-level progression</w:t>
      </w:r>
    </w:p>
    <w:p>
      <w:pPr>
        <w:spacing w:after="160" w:before="40"/>
      </w:pPr>
      <w:r>
        <w:t xml:space="preserve">Parent dashboard visibility and credential verification support homeschool portfolios, co-ops, and independent learning documentation.</w:t>
      </w:r>
    </w:p>
    <w:p>
      <w:pPr>
        <w:pStyle w:val="Heading1"/>
      </w:pPr>
      <w:r>
        <w:t xml:space="preserve">Supplementary alignment — CASEL competencies</w:t>
      </w:r>
    </w:p>
    <w:p>
      <w:pPr>
        <w:spacing w:after="140" w:before="40"/>
      </w:pPr>
      <w:r>
        <w:rPr>
          <w:b/>
          <w:bCs/>
          <w:color w:val="2A2A2A"/>
        </w:rPr>
        <w:t xml:space="preserve">Alignment status:  </w:t>
      </w:r>
      <w:r>
        <w:rPr>
          <w:b/>
          <w:bCs/>
          <w:color w:val="A04E37"/>
        </w:rPr>
        <w:t xml:space="preserve">Strong supplementary alignment</w:t>
      </w:r>
    </w:p>
    <w:p>
      <w:pPr>
        <w:spacing w:after="80"/>
      </w:pPr>
      <w:r>
        <w:t xml:space="preserve">PhoxFin supports the following social-emotional learning competencies as supplementary outcomes embedded in financial and real-world contexts:</w:t>
      </w:r>
    </w:p>
    <w:p>
      <w:pPr>
        <w:pStyle w:val="ListParagraph"/>
        <w:numPr>
          <w:ilvl w:val="0"/>
          <w:numId w:val="2"/>
        </w:numPr>
        <w:spacing w:after="60" w:line="264"/>
      </w:pPr>
      <w:r>
        <w:t xml:space="preserve">Self-awareness</w:t>
      </w:r>
    </w:p>
    <w:p>
      <w:pPr>
        <w:pStyle w:val="ListParagraph"/>
        <w:numPr>
          <w:ilvl w:val="0"/>
          <w:numId w:val="2"/>
        </w:numPr>
        <w:spacing w:after="60" w:line="264"/>
      </w:pPr>
      <w:r>
        <w:t xml:space="preserve">Self-management</w:t>
      </w:r>
    </w:p>
    <w:p>
      <w:pPr>
        <w:pStyle w:val="ListParagraph"/>
        <w:numPr>
          <w:ilvl w:val="0"/>
          <w:numId w:val="2"/>
        </w:numPr>
        <w:spacing w:after="60" w:line="264"/>
      </w:pPr>
      <w:r>
        <w:t xml:space="preserve">Responsible decision-making</w:t>
      </w:r>
    </w:p>
    <w:p>
      <w:pPr>
        <w:pStyle w:val="ListParagraph"/>
        <w:numPr>
          <w:ilvl w:val="0"/>
          <w:numId w:val="2"/>
        </w:numPr>
        <w:spacing w:after="60" w:line="264"/>
      </w:pPr>
      <w:r>
        <w:t xml:space="preserve">Social awareness</w:t>
      </w:r>
    </w:p>
    <w:p>
      <w:pPr>
        <w:pStyle w:val="ListParagraph"/>
        <w:numPr>
          <w:ilvl w:val="0"/>
          <w:numId w:val="2"/>
        </w:numPr>
        <w:spacing w:after="60" w:line="264"/>
      </w:pPr>
      <w:r>
        <w:t xml:space="preserve">Relationship skills</w:t>
      </w:r>
    </w:p>
    <w:p>
      <w:pPr>
        <w:pBdr>
          <w:left w:val="single" w:color="EFC2AE" w:sz="18" w:space="8"/>
        </w:pBdr>
        <w:shd w:fill="FBF1ED" w:val="clear"/>
        <w:spacing w:after="160" w:before="80"/>
      </w:pPr>
      <w:r>
        <w:rPr>
          <w:b/>
          <w:bCs/>
          <w:color w:val="2A2A2A"/>
        </w:rPr>
        <w:t xml:space="preserve">Clarification: PhoxFin is not a standalone SEL curriculum.</w:t>
      </w:r>
    </w:p>
    <w:p>
      <w:pPr>
        <w:pStyle w:val="Heading1"/>
      </w:pPr>
      <w:r>
        <w:t xml:space="preserve">Supplementary alignment — Digital citizenship readiness</w:t>
      </w:r>
    </w:p>
    <w:p>
      <w:pPr>
        <w:spacing w:after="140" w:before="40"/>
      </w:pPr>
      <w:r>
        <w:rPr>
          <w:b/>
          <w:bCs/>
          <w:color w:val="2A2A2A"/>
        </w:rPr>
        <w:t xml:space="preserve">Alignment status:  </w:t>
      </w:r>
      <w:r>
        <w:rPr>
          <w:b/>
          <w:bCs/>
          <w:color w:val="A04E37"/>
        </w:rPr>
        <w:t xml:space="preserve">Strong supplementary alignment</w:t>
      </w:r>
    </w:p>
    <w:p>
      <w:pPr>
        <w:spacing w:after="80"/>
      </w:pPr>
      <w:r>
        <w:t xml:space="preserve">PhoxFin supports digital citizenship readiness through:</w:t>
      </w:r>
    </w:p>
    <w:p>
      <w:pPr>
        <w:pStyle w:val="ListParagraph"/>
        <w:numPr>
          <w:ilvl w:val="0"/>
          <w:numId w:val="2"/>
        </w:numPr>
        <w:spacing w:after="60" w:line="264"/>
      </w:pPr>
      <w:r>
        <w:t xml:space="preserve">Scam awareness</w:t>
      </w:r>
    </w:p>
    <w:p>
      <w:pPr>
        <w:pStyle w:val="ListParagraph"/>
        <w:numPr>
          <w:ilvl w:val="0"/>
          <w:numId w:val="2"/>
        </w:numPr>
        <w:spacing w:after="60" w:line="264"/>
      </w:pPr>
      <w:r>
        <w:t xml:space="preserve">Phishing awareness</w:t>
      </w:r>
    </w:p>
    <w:p>
      <w:pPr>
        <w:pStyle w:val="ListParagraph"/>
        <w:numPr>
          <w:ilvl w:val="0"/>
          <w:numId w:val="2"/>
        </w:numPr>
        <w:spacing w:after="60" w:line="264"/>
      </w:pPr>
      <w:r>
        <w:t xml:space="preserve">Online manipulation recognition</w:t>
      </w:r>
    </w:p>
    <w:p>
      <w:pPr>
        <w:pStyle w:val="ListParagraph"/>
        <w:numPr>
          <w:ilvl w:val="0"/>
          <w:numId w:val="2"/>
        </w:numPr>
        <w:spacing w:after="60" w:line="264"/>
      </w:pPr>
      <w:r>
        <w:t xml:space="preserve">AI deception awareness</w:t>
      </w:r>
    </w:p>
    <w:p>
      <w:pPr>
        <w:pStyle w:val="ListParagraph"/>
        <w:numPr>
          <w:ilvl w:val="0"/>
          <w:numId w:val="2"/>
        </w:numPr>
        <w:spacing w:after="60" w:line="264"/>
      </w:pPr>
      <w:r>
        <w:t xml:space="preserve">Digital financial safety</w:t>
      </w:r>
    </w:p>
    <w:p>
      <w:pPr>
        <w:pStyle w:val="ListParagraph"/>
        <w:numPr>
          <w:ilvl w:val="0"/>
          <w:numId w:val="2"/>
        </w:numPr>
        <w:spacing w:after="60" w:line="264"/>
      </w:pPr>
      <w:r>
        <w:t xml:space="preserve">Responsible technology-related financial decision-making</w:t>
      </w:r>
    </w:p>
    <w:p>
      <w:pPr>
        <w:pBdr>
          <w:left w:val="single" w:color="EFC2AE" w:sz="18" w:space="8"/>
        </w:pBdr>
        <w:shd w:fill="FBF1ED" w:val="clear"/>
        <w:spacing w:after="160" w:before="80"/>
      </w:pPr>
      <w:r>
        <w:rPr>
          <w:b/>
          <w:bCs/>
          <w:color w:val="2A2A2A"/>
        </w:rPr>
        <w:t xml:space="preserve">Clarification: PhoxFin is not a standalone technology curriculum.</w:t>
      </w:r>
    </w:p>
    <w:p>
      <w:pPr>
        <w:pStyle w:val="Heading1"/>
      </w:pPr>
      <w:r>
        <w:t xml:space="preserve">What PhoxFin does not currently claim</w:t>
      </w:r>
    </w:p>
    <w:p>
      <w:pPr>
        <w:spacing w:after="80"/>
      </w:pPr>
      <w:r>
        <w:t xml:space="preserve">In keeping with its commitment to accurate, supportable claims, PhoxFin does not currently claim:</w:t>
      </w:r>
    </w:p>
    <w:p>
      <w:pPr>
        <w:pStyle w:val="ListParagraph"/>
        <w:numPr>
          <w:ilvl w:val="0"/>
          <w:numId w:val="2"/>
        </w:numPr>
        <w:spacing w:after="60" w:line="264"/>
      </w:pPr>
      <w:r>
        <w:t xml:space="preserve">Accreditation</w:t>
      </w:r>
    </w:p>
    <w:p>
      <w:pPr>
        <w:pStyle w:val="ListParagraph"/>
        <w:numPr>
          <w:ilvl w:val="0"/>
          <w:numId w:val="2"/>
        </w:numPr>
        <w:spacing w:after="60" w:line="264"/>
      </w:pPr>
      <w:r>
        <w:t xml:space="preserve">Certification</w:t>
      </w:r>
    </w:p>
    <w:p>
      <w:pPr>
        <w:pStyle w:val="ListParagraph"/>
        <w:numPr>
          <w:ilvl w:val="0"/>
          <w:numId w:val="2"/>
        </w:numPr>
        <w:spacing w:after="60" w:line="264"/>
      </w:pPr>
      <w:r>
        <w:t xml:space="preserve">Endorsement</w:t>
      </w:r>
    </w:p>
    <w:p>
      <w:pPr>
        <w:pStyle w:val="ListParagraph"/>
        <w:numPr>
          <w:ilvl w:val="0"/>
          <w:numId w:val="2"/>
        </w:numPr>
        <w:spacing w:after="60" w:line="264"/>
      </w:pPr>
      <w:r>
        <w:t xml:space="preserve">Official framework approval</w:t>
      </w:r>
    </w:p>
    <w:p>
      <w:pPr>
        <w:pStyle w:val="ListParagraph"/>
        <w:numPr>
          <w:ilvl w:val="0"/>
          <w:numId w:val="2"/>
        </w:numPr>
        <w:spacing w:after="60" w:line="264"/>
      </w:pPr>
      <w:r>
        <w:t xml:space="preserve">Common Core alignment</w:t>
      </w:r>
    </w:p>
    <w:p>
      <w:pPr>
        <w:pStyle w:val="ListParagraph"/>
        <w:numPr>
          <w:ilvl w:val="0"/>
          <w:numId w:val="2"/>
        </w:numPr>
        <w:spacing w:after="60" w:line="264"/>
      </w:pPr>
      <w:r>
        <w:t xml:space="preserve">NGSS alignment</w:t>
      </w:r>
    </w:p>
    <w:p>
      <w:pPr>
        <w:pStyle w:val="ListParagraph"/>
        <w:numPr>
          <w:ilvl w:val="0"/>
          <w:numId w:val="2"/>
        </w:numPr>
        <w:spacing w:after="60" w:line="264"/>
      </w:pPr>
      <w:r>
        <w:t xml:space="preserve">NHES alignment</w:t>
      </w:r>
    </w:p>
    <w:p>
      <w:pPr>
        <w:pStyle w:val="ListParagraph"/>
        <w:numPr>
          <w:ilvl w:val="0"/>
          <w:numId w:val="2"/>
        </w:numPr>
        <w:spacing w:after="60" w:line="264"/>
      </w:pPr>
      <w:r>
        <w:t xml:space="preserve">CASEL certification</w:t>
      </w:r>
    </w:p>
    <w:p>
      <w:pPr>
        <w:pStyle w:val="ListParagraph"/>
        <w:numPr>
          <w:ilvl w:val="0"/>
          <w:numId w:val="2"/>
        </w:numPr>
        <w:spacing w:after="60" w:line="264"/>
      </w:pPr>
      <w:r>
        <w:t xml:space="preserve">ISTE certification</w:t>
      </w:r>
    </w:p>
    <w:p>
      <w:pPr>
        <w:spacing w:after="160" w:before="40"/>
      </w:pPr>
      <w:r>
        <w:t xml:space="preserve">PhoxFin uses language such as “designed around,” “aligned to,” “informed by,” and “built on” to describe how the platform relates to these frameworks.</w:t>
      </w:r>
    </w:p>
    <w:p>
      <w:pPr>
        <w:pStyle w:val="Heading1"/>
      </w:pPr>
      <w:r>
        <w:t xml:space="preserve">Why this matters for funding</w:t>
      </w:r>
    </w:p>
    <w:p>
      <w:pPr>
        <w:pStyle w:val="ListParagraph"/>
        <w:numPr>
          <w:ilvl w:val="0"/>
          <w:numId w:val="3"/>
        </w:numPr>
        <w:spacing w:after="100" w:line="264"/>
      </w:pPr>
      <w:r>
        <w:t xml:space="preserve">Framework-aligned programs are easier for organizations to evaluate.</w:t>
      </w:r>
    </w:p>
    <w:p>
      <w:pPr>
        <w:pStyle w:val="ListParagraph"/>
        <w:numPr>
          <w:ilvl w:val="0"/>
          <w:numId w:val="3"/>
        </w:numPr>
        <w:spacing w:after="100" w:line="264"/>
      </w:pPr>
      <w:r>
        <w:t xml:space="preserve">Financial literacy initiatives often require recognized educational frameworks.</w:t>
      </w:r>
    </w:p>
    <w:p>
      <w:pPr>
        <w:pStyle w:val="ListParagraph"/>
        <w:numPr>
          <w:ilvl w:val="0"/>
          <w:numId w:val="3"/>
        </w:numPr>
        <w:spacing w:after="100" w:line="264"/>
      </w:pPr>
      <w:r>
        <w:t xml:space="preserve">Developmental learning evidence strengthens grant applications.</w:t>
      </w:r>
    </w:p>
    <w:p>
      <w:pPr>
        <w:pStyle w:val="ListParagraph"/>
        <w:numPr>
          <w:ilvl w:val="0"/>
          <w:numId w:val="3"/>
        </w:numPr>
        <w:spacing w:after="100" w:line="264"/>
      </w:pPr>
      <w:r>
        <w:t xml:space="preserve">Digital citizenship readiness is increasingly relevant for youth development programs.</w:t>
      </w:r>
    </w:p>
    <w:p>
      <w:pPr>
        <w:pStyle w:val="ListParagraph"/>
        <w:numPr>
          <w:ilvl w:val="0"/>
          <w:numId w:val="3"/>
        </w:numPr>
        <w:spacing w:after="100" w:line="264"/>
      </w:pPr>
      <w:r>
        <w:t xml:space="preserve">The current roadmap includes standards metadata, downloadable framework crosswalks, educator reporting enhancements, and state standards mapping.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5650"/>
        <w:sz w:val="16"/>
        <w:szCs w:val="16"/>
      </w:rPr>
      <w:t xml:space="preserve">Knightbyrd Tech LLC  ·  Standards-aligned, not accredited  ·  Page </w:t>
    </w:r>
    <w:r>
      <w:rPr>
        <w:color w:val="5A565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A5650"/>
        <w:sz w:val="16"/>
        <w:szCs w:val="16"/>
      </w:rPr>
      <w:t xml:space="preserve">PhoxFin — Framework Alignment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EFC2AE" w:sz="6" w:space="4"/>
      </w:pBdr>
      <w:spacing w:after="160" w:before="320"/>
      <w:outlineLvl w:val="0"/>
    </w:pPr>
    <w:rPr>
      <w:rFonts w:ascii="Arial" w:cs="Arial" w:eastAsia="Arial" w:hAnsi="Arial"/>
      <w:b/>
      <w:bCs/>
      <w:color w:val="A04E37"/>
      <w:sz w:val="28"/>
      <w:szCs w:val="28"/>
    </w:rPr>
  </w:style>
  <w:style w:type="paragraph" w:styleId="Heading2">
    <w:name w:val="Heading 2"/>
    <w:basedOn w:val="Normal"/>
    <w:next w:val="Normal"/>
    <w:qFormat/>
    <w:pPr>
      <w:spacing w:after="100" w:before="220"/>
      <w:outlineLvl w:val="1"/>
    </w:pPr>
    <w:rPr>
      <w:rFonts w:ascii="Arial" w:cs="Arial" w:eastAsia="Arial" w:hAnsi="Arial"/>
      <w:b/>
      <w:bCs/>
      <w:color w:val="2A2A2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2026-06-24T13:26:32.620Z</dcterms:created>
  <dcterms:modified xsi:type="dcterms:W3CDTF">2026-06-24T13:26:32.621Z</dcterms:modified>
</cp:coreProperties>
</file>

<file path=docProps/custom.xml><?xml version="1.0" encoding="utf-8"?>
<Properties xmlns="http://schemas.openxmlformats.org/officeDocument/2006/custom-properties" xmlns:vt="http://schemas.openxmlformats.org/officeDocument/2006/docPropsVTypes"/>
</file>