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rFonts w:ascii="Arial" w:cs="Arial" w:eastAsia="Arial" w:hAnsi="Arial"/>
          <w:b/>
          <w:bCs/>
          <w:color w:val="A04E37"/>
          <w:sz w:val="46"/>
          <w:szCs w:val="46"/>
        </w:rPr>
        <w:t xml:space="preserve">PhoxFin</w:t>
      </w:r>
    </w:p>
    <w:p>
      <w:pPr>
        <w:spacing w:after="50"/>
      </w:pPr>
      <w:r>
        <w:rPr>
          <w:b/>
          <w:bCs/>
          <w:color w:val="2A2A2A"/>
          <w:sz w:val="32"/>
          <w:szCs w:val="32"/>
        </w:rPr>
        <w:t xml:space="preserve">Growth Partner Program Overview</w:t>
      </w:r>
    </w:p>
    <w:p>
      <w:pPr>
        <w:spacing w:after="180"/>
      </w:pPr>
      <w:r>
        <w:rPr>
          <w:i/>
          <w:iCs/>
          <w:color w:val="5A5650"/>
          <w:sz w:val="20"/>
          <w:szCs w:val="20"/>
        </w:rPr>
        <w:t xml:space="preserve">Mission, opportunity, and partner compensation — a referral and partnership program, not equity, ownership, or guaranteed income.</w:t>
      </w:r>
    </w:p>
    <w:p>
      <w:pPr>
        <w:pBdr>
          <w:top w:val="single" w:color="EFC2AE" w:sz="4" w:space="6"/>
          <w:bottom w:val="single" w:color="EFC2AE" w:sz="4" w:space="6"/>
        </w:pBdr>
        <w:spacing w:after="60"/>
      </w:pPr>
      <w:r>
        <w:rPr>
          <w:color w:val="5A5650"/>
          <w:sz w:val="18"/>
          <w:szCs w:val="18"/>
        </w:rPr>
        <w:t xml:space="preserve">Audience: prospective Growth Partners — parents, homeschool leaders, educators, church and youth leaders, community advocates, banks, credit unions, nonprofits, and foundations.</w:t>
      </w:r>
    </w:p>
    <w:p>
      <w:pPr>
        <w:spacing w:after="150" w:line="272"/>
      </w:pPr>
      <w:r>
        <w:t xml:space="preserve"/>
      </w:r>
    </w:p>
    <w:p>
      <w:pPr>
        <w:pStyle w:val="Heading1"/>
      </w:pPr>
      <w:r>
        <w:t xml:space="preserve">1. The problem — why financial literacy matters</w:t>
      </w:r>
    </w:p>
    <w:p>
      <w:pPr>
        <w:spacing w:after="150" w:line="272"/>
      </w:pPr>
      <w:r>
        <w:t xml:space="preserve">Most students reach adulthood without sustained, structured money education. Financial decisions now start younger — digital payments, subscriptions, online scams, and crypto pitches reach children early. Yet personal finance is rarely taught as a continuous PreK–12 subject; it usually appears, if at all, as a single high-school unit. The result is a preparedness gap: young people face real financial decisions without ever having practiced one.</w:t>
      </w:r>
    </w:p>
    <w:p>
      <w:pPr>
        <w:pStyle w:val="Heading1"/>
      </w:pPr>
      <w:r>
        <w:t xml:space="preserve">2. The solution — why PhoxFin exists</w:t>
      </w:r>
    </w:p>
    <w:p>
      <w:pPr>
        <w:spacing w:after="150" w:line="272"/>
      </w:pPr>
      <w:r>
        <w:t xml:space="preserve">PhoxFin is a PreK–12 adaptive financial literacy platform that teaches money the way schools teach reading and math — early, consistently, and with practice.</w:t>
      </w:r>
    </w:p>
    <w:p>
      <w:pPr>
        <w:pStyle w:val="ListParagraph"/>
        <w:numPr>
          <w:ilvl w:val="0"/>
          <w:numId w:val="2"/>
        </w:numPr>
        <w:spacing w:after="60" w:line="264"/>
      </w:pPr>
      <w:r>
        <w:t xml:space="preserve">Adaptive, age-banded instruction from PreK through Grade 12.</w:t>
      </w:r>
    </w:p>
    <w:p>
      <w:pPr>
        <w:pStyle w:val="ListParagraph"/>
        <w:numPr>
          <w:ilvl w:val="0"/>
          <w:numId w:val="2"/>
        </w:numPr>
        <w:spacing w:after="60" w:line="264"/>
      </w:pPr>
      <w:r>
        <w:t xml:space="preserve">Real-world learning through scenarios, missions, and decision practice with consequences.</w:t>
      </w:r>
    </w:p>
    <w:p>
      <w:pPr>
        <w:pStyle w:val="ListParagraph"/>
        <w:numPr>
          <w:ilvl w:val="0"/>
          <w:numId w:val="2"/>
        </w:numPr>
        <w:spacing w:after="60" w:line="264"/>
      </w:pPr>
      <w:r>
        <w:t xml:space="preserve">Mastery progression — a spiral curriculum that revisits core principles each year with rising depth.</w:t>
      </w:r>
    </w:p>
    <w:p>
      <w:pPr>
        <w:pStyle w:val="ListParagraph"/>
        <w:numPr>
          <w:ilvl w:val="0"/>
          <w:numId w:val="2"/>
        </w:numPr>
        <w:spacing w:after="60" w:line="264"/>
      </w:pPr>
      <w:r>
        <w:t xml:space="preserve">Standards-aligned architecture designed around CEE, Jump$tart, and CFPB developmental principles, with supplementary CASEL support and digital citizenship readiness.</w:t>
      </w:r>
    </w:p>
    <w:p>
      <w:pPr>
        <w:pStyle w:val="ListParagraph"/>
        <w:numPr>
          <w:ilvl w:val="0"/>
          <w:numId w:val="2"/>
        </w:numPr>
        <w:spacing w:after="60" w:line="264"/>
      </w:pPr>
      <w:r>
        <w:t xml:space="preserve">Family involvement through a parent-paired track and parent dashboard visibility.</w:t>
      </w:r>
    </w:p>
    <w:p>
      <w:pPr>
        <w:pStyle w:val="Heading1"/>
      </w:pPr>
      <w:r>
        <w:t xml:space="preserve">3. The opportunity — who needs PhoxFin</w:t>
      </w:r>
    </w:p>
    <w:p>
      <w:pPr>
        <w:spacing w:after="150" w:line="272"/>
      </w:pPr>
      <w:r>
        <w:t xml:space="preserve">Demand for credible, standards-aligned financial literacy spans families and institutions. Growth Partners help connect PhoxFin to:</w:t>
      </w:r>
    </w:p>
    <w:p>
      <w:pPr>
        <w:pStyle w:val="ListParagraph"/>
        <w:numPr>
          <w:ilvl w:val="0"/>
          <w:numId w:val="2"/>
        </w:numPr>
        <w:spacing w:after="60" w:line="264"/>
      </w:pPr>
      <w:r>
        <w:t xml:space="preserve">Schools — a supplementary curriculum that adds financial literacy without adding teacher prep.</w:t>
      </w:r>
    </w:p>
    <w:p>
      <w:pPr>
        <w:pStyle w:val="ListParagraph"/>
        <w:numPr>
          <w:ilvl w:val="0"/>
          <w:numId w:val="2"/>
        </w:numPr>
        <w:spacing w:after="60" w:line="264"/>
      </w:pPr>
      <w:r>
        <w:t xml:space="preserve">Churches and youth programs — stewardship-friendly, family-first financial education.</w:t>
      </w:r>
    </w:p>
    <w:p>
      <w:pPr>
        <w:pStyle w:val="ListParagraph"/>
        <w:numPr>
          <w:ilvl w:val="0"/>
          <w:numId w:val="2"/>
        </w:numPr>
        <w:spacing w:after="60" w:line="264"/>
      </w:pPr>
      <w:r>
        <w:t xml:space="preserve">Homeschool groups — self-paced PreK–12 progression with verifiable credentials and portfolio documentation.</w:t>
      </w:r>
    </w:p>
    <w:p>
      <w:pPr>
        <w:pStyle w:val="ListParagraph"/>
        <w:numPr>
          <w:ilvl w:val="0"/>
          <w:numId w:val="2"/>
        </w:numPr>
        <w:spacing w:after="60" w:line="264"/>
      </w:pPr>
      <w:r>
        <w:t xml:space="preserve">Banks and credit unions — a durable, documentable financial-literacy initiative for community investment and outreach.</w:t>
      </w:r>
    </w:p>
    <w:p>
      <w:pPr>
        <w:pStyle w:val="ListParagraph"/>
        <w:numPr>
          <w:ilvl w:val="0"/>
          <w:numId w:val="2"/>
        </w:numPr>
        <w:spacing w:after="60" w:line="264"/>
      </w:pPr>
      <w:r>
        <w:t xml:space="preserve">Nonprofits and foundations — a measurable, framework-aligned program for grant-funded financial education.</w:t>
      </w:r>
    </w:p>
    <w:p>
      <w:pPr>
        <w:pStyle w:val="Heading1"/>
      </w:pPr>
      <w:r>
        <w:t xml:space="preserve">4. Become a Growth Partner</w:t>
      </w:r>
    </w:p>
    <w:p>
      <w:pPr>
        <w:spacing w:after="150" w:line="272"/>
      </w:pPr>
      <w:r>
        <w:t xml:space="preserve">Growth Partners are advocates, connectors, and champions — not salespeople. You introduce PhoxFin where it fits in the families and communities you already know; PhoxFin handles the product, onboarding, and support. There are three partner types:</w:t>
      </w:r>
    </w:p>
    <w:p>
      <w:pPr>
        <w:pStyle w:val="Heading2"/>
      </w:pPr>
      <w:r>
        <w:t xml:space="preserve">Family Advocate</w:t>
      </w:r>
    </w:p>
    <w:p>
      <w:pPr>
        <w:spacing w:after="150" w:line="272"/>
      </w:pPr>
      <w:r>
        <w:t xml:space="preserve">Parents, homeschool leaders, community advocates, creators, and influencers who connect families to PhoxFin.</w:t>
      </w:r>
    </w:p>
    <w:p>
      <w:pPr>
        <w:pStyle w:val="Heading2"/>
      </w:pPr>
      <w:r>
        <w:t xml:space="preserve">Education Partner</w:t>
      </w:r>
    </w:p>
    <w:p>
      <w:pPr>
        <w:spacing w:after="150" w:line="272"/>
      </w:pPr>
      <w:r>
        <w:t xml:space="preserve">Teachers, school leaders, charter operators, church education leaders, youth directors, and homeschool co-op leaders who bring PhoxFin to organizations.</w:t>
      </w:r>
    </w:p>
    <w:p>
      <w:pPr>
        <w:pStyle w:val="Heading2"/>
      </w:pPr>
      <w:r>
        <w:t xml:space="preserve">Community Partner</w:t>
      </w:r>
    </w:p>
    <w:p>
      <w:pPr>
        <w:spacing w:after="150" w:line="272"/>
      </w:pPr>
      <w:r>
        <w:t xml:space="preserve">Banks, credit unions, nonprofits, foundations, churches, employers, and community organizations that collaborate on financial literacy initiatives.</w:t>
      </w:r>
    </w:p>
    <w:p>
      <w:pPr>
        <w:pStyle w:val="Heading1"/>
      </w:pPr>
      <w:r>
        <w:t xml:space="preserve">5. Compensation</w:t>
      </w:r>
    </w:p>
    <w:p>
      <w:pPr>
        <w:spacing w:after="150" w:line="272"/>
      </w:pPr>
      <w:r>
        <w:t xml:space="preserve">Eligible partners may qualify for recurring referral commissions based on active referred subscriptions, and for fixed rewards on successful educational implementations. These are not guaranteed earnings — all compensation is subject to account standing and program terms, and may be adjusted for fraud, abuse, chargebacks, or cancellations.</w:t>
      </w:r>
    </w:p>
    <w:p>
      <w:pPr>
        <w:pStyle w:val="Heading2"/>
      </w:pPr>
      <w:r>
        <w:t xml:space="preserve">Family Advocate Track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2640"/>
      </w:tblGrid>
      <w:tr>
        <w:trPr>
          <w:tblHeader/>
        </w:trPr>
        <w:tc>
          <w:tcPr>
            <w:tcW w:type="dxa" w:w="3360"/>
            <w:tcBorders>
              <w:top w:val="single" w:color="EFC2AE" w:sz="1"/>
              <w:left w:val="single" w:color="EFC2AE" w:sz="1"/>
              <w:bottom w:val="single" w:color="EFC2AE" w:sz="1"/>
              <w:right w:val="single" w:color="EFC2AE" w:sz="1"/>
            </w:tcBorders>
            <w:shd w:fill="FBF1ED" w:val="clear"/>
            <w:tcMar>
              <w:top w:type="dxa" w:w="70"/>
              <w:left w:type="dxa" w:w="120"/>
              <w:bottom w:type="dxa" w:w="70"/>
              <w:right w:type="dxa" w:w="120"/>
            </w:tcMar>
          </w:tcPr>
          <w:p>
            <w:r>
              <w:rPr>
                <w:b/>
                <w:bCs/>
                <w:color w:val="2A2A2A"/>
                <w:sz w:val="20"/>
                <w:szCs w:val="20"/>
              </w:rPr>
              <w:t xml:space="preserve">Partner Level</w:t>
            </w:r>
          </w:p>
        </w:tc>
        <w:tc>
          <w:tcPr>
            <w:tcW w:type="dxa" w:w="3360"/>
            <w:tcBorders>
              <w:top w:val="single" w:color="EFC2AE" w:sz="1"/>
              <w:left w:val="single" w:color="EFC2AE" w:sz="1"/>
              <w:bottom w:val="single" w:color="EFC2AE" w:sz="1"/>
              <w:right w:val="single" w:color="EFC2AE" w:sz="1"/>
            </w:tcBorders>
            <w:shd w:fill="FBF1ED" w:val="clear"/>
            <w:tcMar>
              <w:top w:type="dxa" w:w="70"/>
              <w:left w:type="dxa" w:w="120"/>
              <w:bottom w:type="dxa" w:w="70"/>
              <w:right w:type="dxa" w:w="120"/>
            </w:tcMar>
          </w:tcPr>
          <w:p>
            <w:r>
              <w:rPr>
                <w:b/>
                <w:bCs/>
                <w:color w:val="2A2A2A"/>
                <w:sz w:val="20"/>
                <w:szCs w:val="20"/>
              </w:rPr>
              <w:t xml:space="preserve">Active Family Referrals</w:t>
            </w:r>
          </w:p>
        </w:tc>
        <w:tc>
          <w:tcPr>
            <w:tcW w:type="dxa" w:w="2640"/>
            <w:tcBorders>
              <w:top w:val="single" w:color="EFC2AE" w:sz="1"/>
              <w:left w:val="single" w:color="EFC2AE" w:sz="1"/>
              <w:bottom w:val="single" w:color="EFC2AE" w:sz="1"/>
              <w:right w:val="single" w:color="EFC2AE" w:sz="1"/>
            </w:tcBorders>
            <w:shd w:fill="FBF1ED" w:val="clear"/>
            <w:tcMar>
              <w:top w:type="dxa" w:w="70"/>
              <w:left w:type="dxa" w:w="120"/>
              <w:bottom w:type="dxa" w:w="70"/>
              <w:right w:type="dxa" w:w="120"/>
            </w:tcMar>
          </w:tcPr>
          <w:p>
            <w:r>
              <w:rPr>
                <w:b/>
                <w:bCs/>
                <w:color w:val="2A2A2A"/>
                <w:sz w:val="20"/>
                <w:szCs w:val="20"/>
              </w:rPr>
              <w:t xml:space="preserve">Recurring Commission</w:t>
            </w:r>
          </w:p>
        </w:tc>
      </w:tr>
      <w:tr>
        <w:tc>
          <w:tcPr>
            <w:tcW w:type="dxa" w:w="336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val="false"/>
                <w:bCs w:val="false"/>
                <w:color w:val="333333"/>
                <w:sz w:val="20"/>
                <w:szCs w:val="20"/>
              </w:rPr>
              <w:t xml:space="preserve">Advocate</w:t>
            </w:r>
          </w:p>
        </w:tc>
        <w:tc>
          <w:tcPr>
            <w:tcW w:type="dxa" w:w="336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val="false"/>
                <w:bCs w:val="false"/>
                <w:color w:val="333333"/>
                <w:sz w:val="20"/>
                <w:szCs w:val="20"/>
              </w:rPr>
              <w:t xml:space="preserve">1–24</w:t>
            </w:r>
          </w:p>
        </w:tc>
        <w:tc>
          <w:tcPr>
            <w:tcW w:type="dxa" w:w="264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bCs/>
                <w:color w:val="333333"/>
                <w:sz w:val="20"/>
                <w:szCs w:val="20"/>
              </w:rPr>
              <w:t xml:space="preserve">10%</w:t>
            </w:r>
          </w:p>
        </w:tc>
      </w:tr>
      <w:tr>
        <w:tc>
          <w:tcPr>
            <w:tcW w:type="dxa" w:w="336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val="false"/>
                <w:bCs w:val="false"/>
                <w:color w:val="333333"/>
                <w:sz w:val="20"/>
                <w:szCs w:val="20"/>
              </w:rPr>
              <w:t xml:space="preserve">Growth Partner</w:t>
            </w:r>
          </w:p>
        </w:tc>
        <w:tc>
          <w:tcPr>
            <w:tcW w:type="dxa" w:w="336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val="false"/>
                <w:bCs w:val="false"/>
                <w:color w:val="333333"/>
                <w:sz w:val="20"/>
                <w:szCs w:val="20"/>
              </w:rPr>
              <w:t xml:space="preserve">25–99</w:t>
            </w:r>
          </w:p>
        </w:tc>
        <w:tc>
          <w:tcPr>
            <w:tcW w:type="dxa" w:w="264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bCs/>
                <w:color w:val="333333"/>
                <w:sz w:val="20"/>
                <w:szCs w:val="20"/>
              </w:rPr>
              <w:t xml:space="preserve">12.5%</w:t>
            </w:r>
          </w:p>
        </w:tc>
      </w:tr>
      <w:tr>
        <w:tc>
          <w:tcPr>
            <w:tcW w:type="dxa" w:w="336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val="false"/>
                <w:bCs w:val="false"/>
                <w:color w:val="333333"/>
                <w:sz w:val="20"/>
                <w:szCs w:val="20"/>
              </w:rPr>
              <w:t xml:space="preserve">Strategic Partner</w:t>
            </w:r>
          </w:p>
        </w:tc>
        <w:tc>
          <w:tcPr>
            <w:tcW w:type="dxa" w:w="336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val="false"/>
                <w:bCs w:val="false"/>
                <w:color w:val="333333"/>
                <w:sz w:val="20"/>
                <w:szCs w:val="20"/>
              </w:rPr>
              <w:t xml:space="preserve">100+</w:t>
            </w:r>
          </w:p>
        </w:tc>
        <w:tc>
          <w:tcPr>
            <w:tcW w:type="dxa" w:w="264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bCs/>
                <w:color w:val="333333"/>
                <w:sz w:val="20"/>
                <w:szCs w:val="20"/>
              </w:rPr>
              <w:t xml:space="preserve">15%</w:t>
            </w:r>
          </w:p>
        </w:tc>
      </w:tr>
    </w:tbl>
    <w:p>
      <w:pPr>
        <w:spacing w:after="150" w:before="120"/>
      </w:pPr>
      <w:r>
        <w:t xml:space="preserve">As partners help more families gain access to financial literacy education, they may qualify for higher recurring referral rewards. Recurring commission is paid while the referred family subscription remains active and in good standing.</w:t>
      </w:r>
    </w:p>
    <w:p>
      <w:pPr>
        <w:pStyle w:val="Heading2"/>
      </w:pPr>
      <w:r>
        <w:t xml:space="preserve">Education Partner Track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3000"/>
        <w:gridCol w:w="3000"/>
      </w:tblGrid>
      <w:tr>
        <w:trPr>
          <w:tblHeader/>
        </w:trPr>
        <w:tc>
          <w:tcPr>
            <w:tcW w:type="dxa" w:w="3360"/>
            <w:tcBorders>
              <w:top w:val="single" w:color="EFC2AE" w:sz="1"/>
              <w:left w:val="single" w:color="EFC2AE" w:sz="1"/>
              <w:bottom w:val="single" w:color="EFC2AE" w:sz="1"/>
              <w:right w:val="single" w:color="EFC2AE" w:sz="1"/>
            </w:tcBorders>
            <w:shd w:fill="FBF1ED" w:val="clear"/>
            <w:tcMar>
              <w:top w:type="dxa" w:w="70"/>
              <w:left w:type="dxa" w:w="120"/>
              <w:bottom w:type="dxa" w:w="70"/>
              <w:right w:type="dxa" w:w="120"/>
            </w:tcMar>
          </w:tcPr>
          <w:p>
            <w:r>
              <w:rPr>
                <w:b/>
                <w:bCs/>
                <w:color w:val="2A2A2A"/>
                <w:sz w:val="20"/>
                <w:szCs w:val="20"/>
              </w:rPr>
              <w:t xml:space="preserve">Implementation</w:t>
            </w:r>
          </w:p>
        </w:tc>
        <w:tc>
          <w:tcPr>
            <w:tcW w:type="dxa" w:w="3000"/>
            <w:tcBorders>
              <w:top w:val="single" w:color="EFC2AE" w:sz="1"/>
              <w:left w:val="single" w:color="EFC2AE" w:sz="1"/>
              <w:bottom w:val="single" w:color="EFC2AE" w:sz="1"/>
              <w:right w:val="single" w:color="EFC2AE" w:sz="1"/>
            </w:tcBorders>
            <w:shd w:fill="FBF1ED" w:val="clear"/>
            <w:tcMar>
              <w:top w:type="dxa" w:w="70"/>
              <w:left w:type="dxa" w:w="120"/>
              <w:bottom w:type="dxa" w:w="70"/>
              <w:right w:type="dxa" w:w="120"/>
            </w:tcMar>
          </w:tcPr>
          <w:p>
            <w:r>
              <w:rPr>
                <w:b/>
                <w:bCs/>
                <w:color w:val="2A2A2A"/>
                <w:sz w:val="20"/>
                <w:szCs w:val="20"/>
              </w:rPr>
              <w:t xml:space="preserve">Size</w:t>
            </w:r>
          </w:p>
        </w:tc>
        <w:tc>
          <w:tcPr>
            <w:tcW w:type="dxa" w:w="3000"/>
            <w:tcBorders>
              <w:top w:val="single" w:color="EFC2AE" w:sz="1"/>
              <w:left w:val="single" w:color="EFC2AE" w:sz="1"/>
              <w:bottom w:val="single" w:color="EFC2AE" w:sz="1"/>
              <w:right w:val="single" w:color="EFC2AE" w:sz="1"/>
            </w:tcBorders>
            <w:shd w:fill="FBF1ED" w:val="clear"/>
            <w:tcMar>
              <w:top w:type="dxa" w:w="70"/>
              <w:left w:type="dxa" w:w="120"/>
              <w:bottom w:type="dxa" w:w="70"/>
              <w:right w:type="dxa" w:w="120"/>
            </w:tcMar>
          </w:tcPr>
          <w:p>
            <w:r>
              <w:rPr>
                <w:b/>
                <w:bCs/>
                <w:color w:val="2A2A2A"/>
                <w:sz w:val="20"/>
                <w:szCs w:val="20"/>
              </w:rPr>
              <w:t xml:space="preserve">Referral Reward</w:t>
            </w:r>
          </w:p>
        </w:tc>
      </w:tr>
      <w:tr>
        <w:tc>
          <w:tcPr>
            <w:tcW w:type="dxa" w:w="336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val="false"/>
                <w:bCs w:val="false"/>
                <w:color w:val="333333"/>
                <w:sz w:val="20"/>
                <w:szCs w:val="20"/>
              </w:rPr>
              <w:t xml:space="preserve">Small Implementation</w:t>
            </w:r>
          </w:p>
        </w:tc>
        <w:tc>
          <w:tcPr>
            <w:tcW w:type="dxa" w:w="300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val="false"/>
                <w:bCs w:val="false"/>
                <w:color w:val="333333"/>
                <w:sz w:val="20"/>
                <w:szCs w:val="20"/>
              </w:rPr>
              <w:t xml:space="preserve">1–50 learners</w:t>
            </w:r>
          </w:p>
        </w:tc>
        <w:tc>
          <w:tcPr>
            <w:tcW w:type="dxa" w:w="300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bCs/>
                <w:color w:val="333333"/>
                <w:sz w:val="20"/>
                <w:szCs w:val="20"/>
              </w:rPr>
              <w:t xml:space="preserve">$250</w:t>
            </w:r>
          </w:p>
        </w:tc>
      </w:tr>
      <w:tr>
        <w:tc>
          <w:tcPr>
            <w:tcW w:type="dxa" w:w="336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val="false"/>
                <w:bCs w:val="false"/>
                <w:color w:val="333333"/>
                <w:sz w:val="20"/>
                <w:szCs w:val="20"/>
              </w:rPr>
              <w:t xml:space="preserve">Medium Implementation</w:t>
            </w:r>
          </w:p>
        </w:tc>
        <w:tc>
          <w:tcPr>
            <w:tcW w:type="dxa" w:w="300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val="false"/>
                <w:bCs w:val="false"/>
                <w:color w:val="333333"/>
                <w:sz w:val="20"/>
                <w:szCs w:val="20"/>
              </w:rPr>
              <w:t xml:space="preserve">51–250 learners</w:t>
            </w:r>
          </w:p>
        </w:tc>
        <w:tc>
          <w:tcPr>
            <w:tcW w:type="dxa" w:w="300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bCs/>
                <w:color w:val="333333"/>
                <w:sz w:val="20"/>
                <w:szCs w:val="20"/>
              </w:rPr>
              <w:t xml:space="preserve">$750</w:t>
            </w:r>
          </w:p>
        </w:tc>
      </w:tr>
      <w:tr>
        <w:tc>
          <w:tcPr>
            <w:tcW w:type="dxa" w:w="336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val="false"/>
                <w:bCs w:val="false"/>
                <w:color w:val="333333"/>
                <w:sz w:val="20"/>
                <w:szCs w:val="20"/>
              </w:rPr>
              <w:t xml:space="preserve">Large Implementation</w:t>
            </w:r>
          </w:p>
        </w:tc>
        <w:tc>
          <w:tcPr>
            <w:tcW w:type="dxa" w:w="300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val="false"/>
                <w:bCs w:val="false"/>
                <w:color w:val="333333"/>
                <w:sz w:val="20"/>
                <w:szCs w:val="20"/>
              </w:rPr>
              <w:t xml:space="preserve">251–1,000 learners</w:t>
            </w:r>
          </w:p>
        </w:tc>
        <w:tc>
          <w:tcPr>
            <w:tcW w:type="dxa" w:w="3000"/>
            <w:tcBorders>
              <w:top w:val="single" w:color="EFC2AE" w:sz="1"/>
              <w:left w:val="single" w:color="EFC2AE" w:sz="1"/>
              <w:bottom w:val="single" w:color="EFC2AE" w:sz="1"/>
              <w:right w:val="single" w:color="EFC2AE" w:sz="1"/>
            </w:tcBorders>
            <w:shd w:fill="FFFFFF" w:val="clear"/>
            <w:tcMar>
              <w:top w:type="dxa" w:w="70"/>
              <w:left w:type="dxa" w:w="120"/>
              <w:bottom w:type="dxa" w:w="70"/>
              <w:right w:type="dxa" w:w="120"/>
            </w:tcMar>
          </w:tcPr>
          <w:p>
            <w:r>
              <w:rPr>
                <w:b/>
                <w:bCs/>
                <w:color w:val="333333"/>
                <w:sz w:val="20"/>
                <w:szCs w:val="20"/>
              </w:rPr>
              <w:t xml:space="preserve">$2,500</w:t>
            </w:r>
          </w:p>
        </w:tc>
      </w:tr>
      <w:tr>
        <w:tc>
          <w:tcPr>
            <w:tcW w:type="dxa" w:w="336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val="false"/>
                <w:bCs w:val="false"/>
                <w:color w:val="333333"/>
                <w:sz w:val="20"/>
                <w:szCs w:val="20"/>
              </w:rPr>
              <w:t xml:space="preserve">Network / District / Enterprise</w:t>
            </w:r>
          </w:p>
        </w:tc>
        <w:tc>
          <w:tcPr>
            <w:tcW w:type="dxa" w:w="300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val="false"/>
                <w:bCs w:val="false"/>
                <w:color w:val="333333"/>
                <w:sz w:val="20"/>
                <w:szCs w:val="20"/>
              </w:rPr>
              <w:t xml:space="preserve">1,001+ learners</w:t>
            </w:r>
          </w:p>
        </w:tc>
        <w:tc>
          <w:tcPr>
            <w:tcW w:type="dxa" w:w="3000"/>
            <w:tcBorders>
              <w:top w:val="single" w:color="EFC2AE" w:sz="1"/>
              <w:left w:val="single" w:color="EFC2AE" w:sz="1"/>
              <w:bottom w:val="single" w:color="EFC2AE" w:sz="1"/>
              <w:right w:val="single" w:color="EFC2AE" w:sz="1"/>
            </w:tcBorders>
            <w:shd w:fill="FAF7F2" w:val="clear"/>
            <w:tcMar>
              <w:top w:type="dxa" w:w="70"/>
              <w:left w:type="dxa" w:w="120"/>
              <w:bottom w:type="dxa" w:w="70"/>
              <w:right w:type="dxa" w:w="120"/>
            </w:tcMar>
          </w:tcPr>
          <w:p>
            <w:r>
              <w:rPr>
                <w:b/>
                <w:bCs/>
                <w:color w:val="333333"/>
                <w:sz w:val="20"/>
                <w:szCs w:val="20"/>
              </w:rPr>
              <w:t xml:space="preserve">Custom agreement</w:t>
            </w:r>
          </w:p>
        </w:tc>
      </w:tr>
    </w:tbl>
    <w:p>
      <w:pPr>
        <w:spacing w:after="70" w:before="120"/>
      </w:pPr>
      <w:r>
        <w:t xml:space="preserve">Partner qualification requirements:</w:t>
      </w:r>
    </w:p>
    <w:p>
      <w:pPr>
        <w:pStyle w:val="ListParagraph"/>
        <w:numPr>
          <w:ilvl w:val="0"/>
          <w:numId w:val="2"/>
        </w:numPr>
        <w:spacing w:after="60" w:line="264"/>
      </w:pPr>
      <w:r>
        <w:t xml:space="preserve">Referral must be registered with PhoxFin before contract execution.</w:t>
      </w:r>
    </w:p>
    <w:p>
      <w:pPr>
        <w:pStyle w:val="ListParagraph"/>
        <w:numPr>
          <w:ilvl w:val="0"/>
          <w:numId w:val="2"/>
        </w:numPr>
        <w:spacing w:after="60" w:line="264"/>
      </w:pPr>
      <w:r>
        <w:t xml:space="preserve">Referral must result in a signed agreement.</w:t>
      </w:r>
    </w:p>
    <w:p>
      <w:pPr>
        <w:pStyle w:val="ListParagraph"/>
        <w:numPr>
          <w:ilvl w:val="0"/>
          <w:numId w:val="2"/>
        </w:numPr>
        <w:spacing w:after="60" w:line="264"/>
      </w:pPr>
      <w:r>
        <w:t xml:space="preserve">Referral must result in successful payment.</w:t>
      </w:r>
    </w:p>
    <w:p>
      <w:pPr>
        <w:pStyle w:val="ListParagraph"/>
        <w:numPr>
          <w:ilvl w:val="0"/>
          <w:numId w:val="2"/>
        </w:numPr>
        <w:spacing w:after="60" w:line="264"/>
      </w:pPr>
      <w:r>
        <w:t xml:space="preserve">Account must remain active and in good standing for at least 60 days.</w:t>
      </w:r>
    </w:p>
    <w:p>
      <w:pPr>
        <w:pStyle w:val="ListParagraph"/>
        <w:numPr>
          <w:ilvl w:val="0"/>
          <w:numId w:val="2"/>
        </w:numPr>
        <w:spacing w:after="60" w:line="264"/>
      </w:pPr>
      <w:r>
        <w:t xml:space="preserve">Duplicate referrals are paid only to the first registered partner.</w:t>
      </w:r>
    </w:p>
    <w:p>
      <w:pPr>
        <w:pStyle w:val="Heading2"/>
      </w:pPr>
      <w:r>
        <w:t xml:space="preserve">Community Partner Track</w:t>
      </w:r>
    </w:p>
    <w:p>
      <w:pPr>
        <w:spacing w:after="150" w:line="272"/>
      </w:pPr>
      <w:r>
        <w:t xml:space="preserve">Community partnership opportunities are structured individually and may include sponsorships, funded access programs, grant-supported initiatives, or co-branded financial literacy programs.</w:t>
      </w:r>
    </w:p>
    <w:p>
      <w:pPr>
        <w:pStyle w:val="Heading2"/>
      </w:pPr>
      <w:r>
        <w:t xml:space="preserve">Partner payout terms</w:t>
      </w:r>
    </w:p>
    <w:p>
      <w:pPr>
        <w:pStyle w:val="ListParagraph"/>
        <w:numPr>
          <w:ilvl w:val="0"/>
          <w:numId w:val="2"/>
        </w:numPr>
        <w:spacing w:after="60" w:line="264"/>
      </w:pPr>
      <w:r>
        <w:t xml:space="preserve">Minimum payout threshold: $50</w:t>
      </w:r>
    </w:p>
    <w:p>
      <w:pPr>
        <w:pStyle w:val="ListParagraph"/>
        <w:numPr>
          <w:ilvl w:val="0"/>
          <w:numId w:val="2"/>
        </w:numPr>
        <w:spacing w:after="60" w:line="264"/>
      </w:pPr>
      <w:r>
        <w:t xml:space="preserve">Payout schedule: Monthly</w:t>
      </w:r>
    </w:p>
    <w:p>
      <w:pPr>
        <w:pStyle w:val="ListParagraph"/>
        <w:numPr>
          <w:ilvl w:val="0"/>
          <w:numId w:val="2"/>
        </w:numPr>
        <w:spacing w:after="60" w:line="264"/>
      </w:pPr>
      <w:r>
        <w:t xml:space="preserve">Payment timing: Net 30</w:t>
      </w:r>
    </w:p>
    <w:p>
      <w:pPr>
        <w:pStyle w:val="ListParagraph"/>
        <w:numPr>
          <w:ilvl w:val="0"/>
          <w:numId w:val="2"/>
        </w:numPr>
        <w:spacing w:after="60" w:line="264"/>
      </w:pPr>
      <w:r>
        <w:t xml:space="preserve">Referral validation period: 30 days</w:t>
      </w:r>
    </w:p>
    <w:p>
      <w:pPr>
        <w:spacing w:after="100" w:before="100"/>
      </w:pPr>
      <w:r>
        <w:t xml:space="preserve">Refund / chargeback protection: If a referred subscription, contract, or implementation is cancelled, refunded, reversed, or charged back before the validation period ends, no commission is earned on that transaction.</w:t>
      </w:r>
    </w:p>
    <w:p>
      <w:pPr>
        <w:pStyle w:val="ListParagraph"/>
        <w:numPr>
          <w:ilvl w:val="0"/>
          <w:numId w:val="2"/>
        </w:numPr>
        <w:spacing w:after="60" w:line="264"/>
      </w:pPr>
      <w:r>
        <w:t xml:space="preserve">Referred account must remain active and in good standing.</w:t>
      </w:r>
    </w:p>
    <w:p>
      <w:pPr>
        <w:pStyle w:val="ListParagraph"/>
        <w:numPr>
          <w:ilvl w:val="0"/>
          <w:numId w:val="2"/>
        </w:numPr>
        <w:spacing w:after="60" w:line="264"/>
      </w:pPr>
      <w:r>
        <w:t xml:space="preserve">Referral must comply with Partner Program terms.</w:t>
      </w:r>
    </w:p>
    <w:p>
      <w:pPr>
        <w:pStyle w:val="ListParagraph"/>
        <w:numPr>
          <w:ilvl w:val="0"/>
          <w:numId w:val="2"/>
        </w:numPr>
        <w:spacing w:after="60" w:line="264"/>
      </w:pPr>
      <w:r>
        <w:t xml:space="preserve">PhoxFin reserves the right to review unusual activity, fraud, self-referrals, or abuse.</w:t>
      </w:r>
    </w:p>
    <w:p>
      <w:pPr>
        <w:pStyle w:val="ListParagraph"/>
        <w:numPr>
          <w:ilvl w:val="0"/>
          <w:numId w:val="2"/>
        </w:numPr>
        <w:spacing w:after="60" w:line="264"/>
      </w:pPr>
      <w:r>
        <w:t xml:space="preserve">Duplicate referrals are awarded only to the first approved partner record.</w:t>
      </w:r>
    </w:p>
    <w:p>
      <w:pPr>
        <w:pStyle w:val="Heading1"/>
      </w:pPr>
      <w:r>
        <w:t xml:space="preserve">6. Why we use a tiered model</w:t>
      </w:r>
    </w:p>
    <w:p>
      <w:pPr>
        <w:pStyle w:val="ListParagraph"/>
        <w:numPr>
          <w:ilvl w:val="0"/>
          <w:numId w:val="2"/>
        </w:numPr>
        <w:spacing w:after="60" w:line="264"/>
      </w:pPr>
      <w:r>
        <w:t xml:space="preserve">Rewards increase as impact increases.</w:t>
      </w:r>
    </w:p>
    <w:p>
      <w:pPr>
        <w:pStyle w:val="ListParagraph"/>
        <w:numPr>
          <w:ilvl w:val="0"/>
          <w:numId w:val="2"/>
        </w:numPr>
        <w:spacing w:after="60" w:line="264"/>
      </w:pPr>
      <w:r>
        <w:t xml:space="preserve">Encourages long-term partnership rather than one-off referrals.</w:t>
      </w:r>
    </w:p>
    <w:p>
      <w:pPr>
        <w:pStyle w:val="ListParagraph"/>
        <w:numPr>
          <w:ilvl w:val="0"/>
          <w:numId w:val="2"/>
        </w:numPr>
        <w:spacing w:after="60" w:line="264"/>
      </w:pPr>
      <w:r>
        <w:t xml:space="preserve">Lets PhoxFin keep investing in curriculum, support, technology, and future team growth.</w:t>
      </w:r>
    </w:p>
    <w:p>
      <w:pPr>
        <w:pStyle w:val="ListParagraph"/>
        <w:numPr>
          <w:ilvl w:val="0"/>
          <w:numId w:val="2"/>
        </w:numPr>
        <w:spacing w:after="60" w:line="264"/>
      </w:pPr>
      <w:r>
        <w:t xml:space="preserve">Aligns partner success with platform success.</w:t>
      </w:r>
    </w:p>
    <w:p>
      <w:pPr>
        <w:pStyle w:val="Heading1"/>
      </w:pPr>
      <w:r>
        <w:t xml:space="preserve">7. What partners do not receive</w:t>
      </w:r>
    </w:p>
    <w:p>
      <w:pPr>
        <w:spacing w:after="70"/>
      </w:pPr>
      <w:r>
        <w:t xml:space="preserve">Partners do not receive:</w:t>
      </w:r>
    </w:p>
    <w:p>
      <w:pPr>
        <w:pStyle w:val="ListParagraph"/>
        <w:numPr>
          <w:ilvl w:val="0"/>
          <w:numId w:val="2"/>
        </w:numPr>
        <w:spacing w:after="60" w:line="264"/>
      </w:pPr>
      <w:r>
        <w:t xml:space="preserve">Ownership</w:t>
      </w:r>
    </w:p>
    <w:p>
      <w:pPr>
        <w:pStyle w:val="ListParagraph"/>
        <w:numPr>
          <w:ilvl w:val="0"/>
          <w:numId w:val="2"/>
        </w:numPr>
        <w:spacing w:after="60" w:line="264"/>
      </w:pPr>
      <w:r>
        <w:t xml:space="preserve">Equity</w:t>
      </w:r>
    </w:p>
    <w:p>
      <w:pPr>
        <w:pStyle w:val="ListParagraph"/>
        <w:numPr>
          <w:ilvl w:val="0"/>
          <w:numId w:val="2"/>
        </w:numPr>
        <w:spacing w:after="60" w:line="264"/>
      </w:pPr>
      <w:r>
        <w:t xml:space="preserve">Voting rights</w:t>
      </w:r>
    </w:p>
    <w:p>
      <w:pPr>
        <w:pStyle w:val="ListParagraph"/>
        <w:numPr>
          <w:ilvl w:val="0"/>
          <w:numId w:val="2"/>
        </w:numPr>
        <w:spacing w:after="60" w:line="264"/>
      </w:pPr>
      <w:r>
        <w:t xml:space="preserve">Control over PhoxFin</w:t>
      </w:r>
    </w:p>
    <w:p>
      <w:pPr>
        <w:pStyle w:val="ListParagraph"/>
        <w:numPr>
          <w:ilvl w:val="0"/>
          <w:numId w:val="2"/>
        </w:numPr>
        <w:spacing w:after="60" w:line="264"/>
      </w:pPr>
      <w:r>
        <w:t xml:space="preserve">Employment status</w:t>
      </w:r>
    </w:p>
    <w:p>
      <w:pPr>
        <w:pStyle w:val="ListParagraph"/>
        <w:numPr>
          <w:ilvl w:val="0"/>
          <w:numId w:val="2"/>
        </w:numPr>
        <w:spacing w:after="60" w:line="264"/>
      </w:pPr>
      <w:r>
        <w:t xml:space="preserve">Guaranteed income</w:t>
      </w:r>
    </w:p>
    <w:p>
      <w:pPr>
        <w:pStyle w:val="ListParagraph"/>
        <w:numPr>
          <w:ilvl w:val="0"/>
          <w:numId w:val="2"/>
        </w:numPr>
        <w:spacing w:after="60" w:line="264"/>
      </w:pPr>
      <w:r>
        <w:t xml:space="preserve">Automatic approval for payment</w:t>
      </w:r>
    </w:p>
    <w:p>
      <w:pPr>
        <w:spacing w:after="150" w:before="100"/>
      </w:pPr>
      <w:r>
        <w:t xml:space="preserve">PhoxFin retains full ownership and operating control. PhoxFin is standards-aligned, not accredited, and is not certified, endorsed, or officially approved by any framework organization.</w:t>
      </w:r>
    </w:p>
    <w:p>
      <w:pPr>
        <w:pStyle w:val="Heading1"/>
      </w:pPr>
      <w:r>
        <w:t xml:space="preserve">8. Next step</w:t>
      </w:r>
    </w:p>
    <w:p>
      <w:pPr>
        <w:spacing w:after="150" w:line="272"/>
      </w:pPr>
      <w:r>
        <w:t xml:space="preserve">Interested partners should complete the Growth Partner interest form at phoxfin.com/partners or contact the team at partners@phoxfin.com to discuss the best fit. Final compensation terms are confirmed in writing before any payout.</w:t>
      </w:r>
    </w:p>
    <w:p>
      <w:pPr>
        <w:pStyle w:val="Heading1"/>
      </w:pPr>
      <w:r>
        <w:t xml:space="preserve">9. Short forwardable summary</w:t>
      </w:r>
    </w:p>
    <w:p>
      <w:pPr>
        <w:pBdr>
          <w:left w:val="single" w:color="EFC2AE" w:sz="18" w:space="8"/>
        </w:pBdr>
        <w:shd w:fill="FBF1ED" w:val="clear"/>
        <w:spacing w:after="150" w:before="40" w:line="276"/>
      </w:pPr>
      <w:r>
        <w:rPr>
          <w:color w:val="2A2A2A"/>
        </w:rPr>
        <w:t xml:space="preserve">PhoxFin is a PreK–12 adaptive financial literacy platform. Its Growth Partner Program invites approved individuals and organizations to help connect families, schools, churches, youth organizations, and community partners to financial literacy education. Family Advocates may earn 10–15% recurring commission by level on active referred subscriptions; Education Partners may earn fixed rewards ($250–$2,500, or custom for enterprise) on successful implementations; Community Partners are structured individually. Rewards are referral-based, validated, and paid under published terms. PhoxFin retains full ownership and operating control — partners do not receive ownership, equity, or guaranteed income.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650"/>
        <w:sz w:val="16"/>
        <w:szCs w:val="16"/>
      </w:rPr>
      <w:t xml:space="preserve">Knightbyrd Tech LLC  ·  Referral program — not equity or guaranteed income  ·  Page </w:t>
    </w:r>
    <w:r>
      <w:rPr>
        <w:color w:val="5A565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A5650"/>
        <w:sz w:val="16"/>
        <w:szCs w:val="16"/>
      </w:rPr>
      <w:t xml:space="preserve">PhoxFin — Growth Partner Program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EFC2AE" w:sz="6" w:space="4"/>
      </w:pBdr>
      <w:spacing w:after="140" w:before="300"/>
      <w:outlineLvl w:val="0"/>
    </w:pPr>
    <w:rPr>
      <w:rFonts w:ascii="Arial" w:cs="Arial" w:eastAsia="Arial" w:hAnsi="Arial"/>
      <w:b/>
      <w:bCs/>
      <w:color w:val="A04E37"/>
      <w:sz w:val="27"/>
      <w:szCs w:val="27"/>
    </w:rPr>
  </w:style>
  <w:style w:type="paragraph" w:styleId="Heading2">
    <w:name w:val="Heading 2"/>
    <w:basedOn w:val="Normal"/>
    <w:next w:val="Normal"/>
    <w:qFormat/>
    <w:pPr>
      <w:spacing w:after="80" w:before="200"/>
      <w:outlineLvl w:val="1"/>
    </w:pPr>
    <w:rPr>
      <w:rFonts w:ascii="Arial" w:cs="Arial" w:eastAsia="Arial" w:hAnsi="Arial"/>
      <w:b/>
      <w:bCs/>
      <w:color w:val="2A2A2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2026-06-24T15:20:35.385Z</dcterms:created>
  <dcterms:modified xsi:type="dcterms:W3CDTF">2026-06-24T15:20:35.387Z</dcterms:modified>
</cp:coreProperties>
</file>

<file path=docProps/custom.xml><?xml version="1.0" encoding="utf-8"?>
<Properties xmlns="http://schemas.openxmlformats.org/officeDocument/2006/custom-properties" xmlns:vt="http://schemas.openxmlformats.org/officeDocument/2006/docPropsVTypes"/>
</file>